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97" w:rsidRPr="008A6997" w:rsidRDefault="008A6997" w:rsidP="008A6997">
      <w:pPr>
        <w:jc w:val="center"/>
        <w:rPr>
          <w:b/>
          <w:sz w:val="28"/>
        </w:rPr>
      </w:pPr>
      <w:r w:rsidRPr="008A6997">
        <w:rPr>
          <w:b/>
          <w:sz w:val="28"/>
        </w:rPr>
        <w:t>Concurso Público</w:t>
      </w:r>
    </w:p>
    <w:p w:rsidR="003A0258" w:rsidRDefault="008A6997" w:rsidP="008A6997">
      <w:pPr>
        <w:jc w:val="center"/>
        <w:rPr>
          <w:b/>
          <w:sz w:val="28"/>
        </w:rPr>
      </w:pPr>
      <w:r w:rsidRPr="008A6997">
        <w:rPr>
          <w:b/>
          <w:sz w:val="28"/>
        </w:rPr>
        <w:t>Programas de tratamiento para mujeres adultas con consumo problemático de alcohol y/u otras drogas en la Región Metropolitana</w:t>
      </w:r>
    </w:p>
    <w:tbl>
      <w:tblPr>
        <w:tblW w:w="8822" w:type="dxa"/>
        <w:tblCellMar>
          <w:left w:w="0" w:type="dxa"/>
          <w:right w:w="0" w:type="dxa"/>
        </w:tblCellMar>
        <w:tblLook w:val="04A0" w:firstRow="1" w:lastRow="0" w:firstColumn="1" w:lastColumn="0" w:noHBand="0" w:noVBand="1"/>
      </w:tblPr>
      <w:tblGrid>
        <w:gridCol w:w="314"/>
        <w:gridCol w:w="4393"/>
        <w:gridCol w:w="4115"/>
      </w:tblGrid>
      <w:tr w:rsidR="008A6997" w:rsidRPr="008A6997" w:rsidTr="008A699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bookmarkStart w:id="0" w:name="_GoBack"/>
            <w:bookmarkEnd w:id="0"/>
            <w:r w:rsidRPr="008A6997">
              <w:rPr>
                <w:rFonts w:ascii="Calibri" w:eastAsia="Times New Roman" w:hAnsi="Calibri" w:cs="Calibri"/>
                <w:lang w:eastAsia="es-CL"/>
              </w:rPr>
              <w:t>N°</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Pregunta</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Respuesta</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En las bases se señala un objetivo general definido por el Servicio, el cual hace referencia explícita a mujeres adultas con consumo problemático de alcohol. Sin embargo, a lo largo del resto del documento se alude de manera reiterada a consumo problemático de alcohol y/u otras drogas.</w:t>
            </w:r>
            <w:r w:rsidRPr="008A6997">
              <w:rPr>
                <w:rFonts w:ascii="Calibri" w:eastAsia="Times New Roman" w:hAnsi="Calibri" w:cs="Calibri"/>
                <w:color w:val="222222"/>
                <w:lang w:eastAsia="es-CL"/>
              </w:rPr>
              <w:br/>
              <w:t>Agradeceríamos nos pudieran aclarar la razón de esta diferencia en la redacción del objetivo general y confirmar si éste debe mantenerse tal como se presenta en las bases, o si es procedente incorporar explícitamente la referencia a consumo problemático de alcohol y otras drogas, sin que ello implique una variación respecto de lo exigido.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Corresponde a un error de forma, los programas que se concursan son para mujeres adultas con consumo problemático de alcohol y/u otras drogas.</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 xml:space="preserve">Duración efectiva del proyecto y cálculo de remuneraciones. </w:t>
            </w:r>
            <w:r w:rsidRPr="008A6997">
              <w:rPr>
                <w:rFonts w:ascii="Calibri" w:eastAsia="Times New Roman" w:hAnsi="Calibri" w:cs="Calibri"/>
                <w:color w:val="222222"/>
                <w:lang w:eastAsia="es-CL"/>
              </w:rPr>
              <w:br/>
              <w:t>Según las bases, el programa inicia su ejecución durante el año 2025; sin embargo, considerando que la puesta en funcionamiento efectiva se proyecta para el mes de febrero, solicitamos confirmar si la duración del proyecto corresponde a 11 meses o a 12 meses, específicamente para efectos del cálculo presupuestario de remuneraciones y distribución de sueldos del equipo.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Como se menciona en el punto 1.3 de las bases del concurso "La duración del contrato derivado de este concurso tendrá vigencia desde que se encuentre totalmente tramitado el acto administrativo que lo aprueba hasta el cumplimiento efectivo de todas y cada una de las obligaciones que emanan del mismo.</w:t>
            </w:r>
            <w:r w:rsidRPr="008A6997">
              <w:rPr>
                <w:rFonts w:ascii="Calibri" w:eastAsia="Times New Roman" w:hAnsi="Calibri" w:cs="Calibri"/>
                <w:lang w:eastAsia="es-CL"/>
              </w:rPr>
              <w:br/>
              <w:t xml:space="preserve">Lo anterior implica el desarrollo del programa desde su total tramitación hasta el 31 de diciembre de 2026". </w:t>
            </w:r>
            <w:r w:rsidRPr="008A6997">
              <w:rPr>
                <w:rFonts w:ascii="Calibri" w:eastAsia="Times New Roman" w:hAnsi="Calibri" w:cs="Calibri"/>
                <w:lang w:eastAsia="es-CL"/>
              </w:rPr>
              <w:br/>
              <w:t>Además, en el punto 1.4 de las bases se agrega "(...) se entregarán recursos a las instituciones para el ingreso y atención de personas usuarias que, para estas instituciones, comprenderá desde el mes de enero del año 2026 hasta el 31 de diciembre de 2026".</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Periodicidad de las 216 horas de personal de turno en programas residenciales.</w:t>
            </w:r>
            <w:r w:rsidRPr="008A6997">
              <w:rPr>
                <w:rFonts w:ascii="Calibri" w:eastAsia="Times New Roman" w:hAnsi="Calibri" w:cs="Calibri"/>
                <w:color w:val="222222"/>
                <w:lang w:eastAsia="es-CL"/>
              </w:rPr>
              <w:br/>
              <w:t>En relación con la exigencia de 216 horas de personal de turno para programas residenciales, agradeceríamos nos puedan confirmar expresamente si dichas horas corresponden a una exigencia semanal o mensual.</w:t>
            </w:r>
            <w:r w:rsidRPr="008A6997">
              <w:rPr>
                <w:rFonts w:ascii="Calibri" w:eastAsia="Times New Roman" w:hAnsi="Calibri" w:cs="Calibri"/>
                <w:color w:val="222222"/>
                <w:lang w:eastAsia="es-CL"/>
              </w:rPr>
              <w:br/>
            </w:r>
            <w:r w:rsidRPr="008A6997">
              <w:rPr>
                <w:rFonts w:ascii="Calibri" w:eastAsia="Times New Roman" w:hAnsi="Calibri" w:cs="Calibri"/>
                <w:color w:val="222222"/>
                <w:lang w:eastAsia="es-CL"/>
              </w:rPr>
              <w:lastRenderedPageBreak/>
              <w:t>Lo anterior resulta relevante, ya que, en caso de tratarse de horas semanales, implicaría una dotación significativamente mayor de personal de turno, con impacto directo en la estructura presupuestaria del proyecto. En cambio, si se trata de horas mensuales, permitiría una distribución más acotada y realista del recurso humano, respetando la normativa laboral vigente.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lastRenderedPageBreak/>
              <w:t>Las 216 horas de personal de turno son referidas, igual que las horas de cualquier otro profesional o técnico del equipo, a lo que debe cumplirse semanalmente. Lo anterior es coherente con lo solicitado por el Decreto 4 del Ministerio de Salud, del año 2010.</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Clasificación del personal administrativo dentro de la estructura del proyecto</w:t>
            </w:r>
            <w:r w:rsidRPr="008A6997">
              <w:rPr>
                <w:rFonts w:ascii="Calibri" w:eastAsia="Times New Roman" w:hAnsi="Calibri" w:cs="Calibri"/>
                <w:color w:val="222222"/>
                <w:lang w:eastAsia="es-CL"/>
              </w:rPr>
              <w:br/>
              <w:t>Las bases distinguen entre equipo profesional y técnico, personal de turnos y equipo de apoyo y soporte. Actualmente, nuestra institución cuenta con dos asistentes administrativos que desempeñan funciones transversales vinculadas al funcionamiento general del centro y al apoyo administrativo del programa.</w:t>
            </w:r>
            <w:r w:rsidRPr="008A6997">
              <w:rPr>
                <w:rFonts w:ascii="Calibri" w:eastAsia="Times New Roman" w:hAnsi="Calibri" w:cs="Calibri"/>
                <w:color w:val="222222"/>
                <w:lang w:eastAsia="es-CL"/>
              </w:rPr>
              <w:br/>
              <w:t>Agradeceríamos nos puedan confirmar en cuál de las categorías antes señaladas corresponde incorporar a este personal administrativo dentro de la propuesta técnica y presupuestaria, a fin de clasificar correctamente sus funciones y horas, en concordancia con lo establecido en las bases.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color w:val="000000"/>
                <w:lang w:eastAsia="es-CL"/>
              </w:rPr>
              <w:t xml:space="preserve">Como se menciona en el punto 4 del anexo 1 </w:t>
            </w:r>
            <w:r w:rsidRPr="008A6997">
              <w:rPr>
                <w:rFonts w:ascii="Calibri" w:eastAsia="Times New Roman" w:hAnsi="Calibri" w:cs="Calibri"/>
                <w:i/>
                <w:iCs/>
                <w:color w:val="000000"/>
                <w:lang w:eastAsia="es-CL"/>
              </w:rPr>
              <w:t>Formulario de presentación de propuesta 2026</w:t>
            </w:r>
            <w:r w:rsidRPr="008A6997">
              <w:rPr>
                <w:rFonts w:ascii="Calibri" w:eastAsia="Times New Roman" w:hAnsi="Calibri" w:cs="Calibri"/>
                <w:color w:val="000000"/>
                <w:lang w:eastAsia="es-CL"/>
              </w:rPr>
              <w:t>, "En el punto 4.4 se debe incorporar a todas aquellas personas que NO realizan atención directa y cumplen funciones de apoyo y soporte (manipulador de alimentos, secretario, entre otros)".</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En el programa de mujeres, ¿los montos destinados a cada línea de intervención se transfieren independientemente del número de usuarios por mes?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Efectivamente, la cobertura mensual no es un criterio para la transferencia de recursos en estos programas, se transfieren remesas contra informes y contenido técnico. Sin embargo, la demanda es suficiente para que los programas alcancen rápidamente la cobertura esperada.</w:t>
            </w:r>
          </w:p>
        </w:tc>
      </w:tr>
      <w:tr w:rsidR="008A6997" w:rsidRPr="008A6997" w:rsidTr="008A6997">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 xml:space="preserve">En el programa de mujeres, ¿debo tener anticipadamente el lugar físico para postular?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Si, se solicita que se postule con un lugar físico y que esté autorizado sanitariamente, la que debe adjuntarse en la postulación.</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 xml:space="preserve">En el programa de mujeres, ¿debo tener desde antes la resolución sanitaria?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 xml:space="preserve">Si, se debe contar con autorización para instalación y/o funcionamiento del centro o programa, con pertinencia asociada a que el lugar de funcionamiento que se menciona debe corresponder al área de localización señalada en la línea de servicio respectiva. No deberá contener restricciones de sexo de la población atendida que resulten incompatibles con el servicio a contratar, de acuerdo a lo definido para cada línea de servicio. En las ofertas de líneas de servicios que comprendan planes residenciales, el número de cupos autorizados en la </w:t>
            </w:r>
            <w:r w:rsidRPr="008A6997">
              <w:rPr>
                <w:rFonts w:ascii="Calibri" w:eastAsia="Times New Roman" w:hAnsi="Calibri" w:cs="Calibri"/>
                <w:lang w:eastAsia="es-CL"/>
              </w:rPr>
              <w:lastRenderedPageBreak/>
              <w:t>resolución correspondiente, debe ser igual o mayor a aquellos mencionados en la línea respectiva.</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lastRenderedPageBreak/>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 xml:space="preserve">La educadora de párvulos, ¿debo tenerla desde el principio o al </w:t>
            </w:r>
            <w:r w:rsidRPr="008A6997">
              <w:rPr>
                <w:rFonts w:ascii="Calibri" w:eastAsia="Times New Roman" w:hAnsi="Calibri" w:cs="Calibri"/>
                <w:color w:val="222222"/>
                <w:lang w:eastAsia="es-CL"/>
              </w:rPr>
              <w:br/>
              <w:t>momento de tener una usuaria con bebé?</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El prestador que adjudique y haya incluido en su oferta a la educadora, técnico o auxiliar de párvulos, debe mantenerla durante toda la vigencia del contrato.</w:t>
            </w:r>
            <w:r w:rsidRPr="008A6997">
              <w:rPr>
                <w:rFonts w:ascii="Calibri" w:eastAsia="Times New Roman" w:hAnsi="Calibri" w:cs="Calibri"/>
                <w:lang w:eastAsia="es-CL"/>
              </w:rPr>
              <w:br/>
              <w:t xml:space="preserve">De acuerdo a lo señalado en el punto 2.3 letra a) de las bases del concurso, la "educadora, técnico o auxiliar de párvulos" es parte del equipo mínimo requerido para que una propuesta de la línea de servicio 2 sea admisible. </w:t>
            </w:r>
            <w:r w:rsidRPr="008A6997">
              <w:rPr>
                <w:rFonts w:ascii="Calibri" w:eastAsia="Times New Roman" w:hAnsi="Calibri" w:cs="Calibri"/>
                <w:lang w:eastAsia="es-CL"/>
              </w:rPr>
              <w:br/>
              <w:t xml:space="preserve">La presencia de "educadora, técnico o auxiliar de párvulos" en las propuestas de la línea de servicio 1, contribuye al puntaje en el ítem </w:t>
            </w:r>
            <w:r w:rsidRPr="008A6997">
              <w:rPr>
                <w:rFonts w:ascii="Calibri" w:eastAsia="Times New Roman" w:hAnsi="Calibri" w:cs="Calibri"/>
                <w:i/>
                <w:iCs/>
                <w:lang w:eastAsia="es-CL"/>
              </w:rPr>
              <w:t xml:space="preserve">Presencia de equipo multidisciplinario. </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En el programa para mujeres, ¿el lugar físico de atención, puede ser en cualquier comuna de Santiago?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 xml:space="preserve">No. No puede ser en cualquier comuna de Santiago. El centro o programa debe estar ubicado en la comuna de Santiago, como se menciona en el punto I.4. </w:t>
            </w:r>
            <w:r w:rsidRPr="008A6997">
              <w:rPr>
                <w:rFonts w:ascii="Calibri" w:eastAsia="Times New Roman" w:hAnsi="Calibri" w:cs="Calibri"/>
                <w:i/>
                <w:iCs/>
                <w:lang w:eastAsia="es-CL"/>
              </w:rPr>
              <w:t xml:space="preserve">Programa, localización y montos </w:t>
            </w:r>
            <w:r w:rsidRPr="008A6997">
              <w:rPr>
                <w:rFonts w:ascii="Calibri" w:eastAsia="Times New Roman" w:hAnsi="Calibri" w:cs="Calibri"/>
                <w:lang w:eastAsia="es-CL"/>
              </w:rPr>
              <w:t>de las bases del concurso</w:t>
            </w:r>
            <w:r w:rsidRPr="008A6997">
              <w:rPr>
                <w:rFonts w:ascii="Calibri" w:eastAsia="Times New Roman" w:hAnsi="Calibri" w:cs="Calibri"/>
                <w:i/>
                <w:iCs/>
                <w:lang w:eastAsia="es-CL"/>
              </w:rPr>
              <w:t>.</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Consulta acerca de formulario N°5 a firmar por representante legal... dice .......... "viene en declarar bajo juramento que la persona jurídica a la que representa:</w:t>
            </w:r>
            <w:r w:rsidRPr="008A6997">
              <w:rPr>
                <w:rFonts w:ascii="Calibri" w:eastAsia="Times New Roman" w:hAnsi="Calibri" w:cs="Calibri"/>
                <w:lang w:eastAsia="es-CL"/>
              </w:rPr>
              <w:br/>
            </w:r>
            <w:proofErr w:type="spellStart"/>
            <w:r w:rsidRPr="008A6997">
              <w:rPr>
                <w:rFonts w:ascii="Calibri" w:eastAsia="Times New Roman" w:hAnsi="Calibri" w:cs="Calibri"/>
                <w:lang w:eastAsia="es-CL"/>
              </w:rPr>
              <w:t>Vll</w:t>
            </w:r>
            <w:proofErr w:type="spellEnd"/>
            <w:r w:rsidRPr="008A6997">
              <w:rPr>
                <w:rFonts w:ascii="Calibri" w:eastAsia="Times New Roman" w:hAnsi="Calibri" w:cs="Calibri"/>
                <w:lang w:eastAsia="es-CL"/>
              </w:rPr>
              <w:t xml:space="preserve"> Tener, entre sus representantes legales o directores, a personas condenadas en causa criminal, por infracción a la ley N° 20.000 y a ley N° 19.913.</w:t>
            </w:r>
            <w:r w:rsidRPr="008A6997">
              <w:rPr>
                <w:rFonts w:ascii="Calibri" w:eastAsia="Times New Roman" w:hAnsi="Calibri" w:cs="Calibri"/>
                <w:lang w:eastAsia="es-CL"/>
              </w:rPr>
              <w:br/>
            </w:r>
            <w:r w:rsidRPr="008A6997">
              <w:rPr>
                <w:rFonts w:ascii="Calibri" w:eastAsia="Times New Roman" w:hAnsi="Calibri" w:cs="Calibri"/>
                <w:lang w:eastAsia="es-CL"/>
              </w:rPr>
              <w:br/>
            </w:r>
            <w:proofErr w:type="spellStart"/>
            <w:r w:rsidRPr="008A6997">
              <w:rPr>
                <w:rFonts w:ascii="Calibri" w:eastAsia="Times New Roman" w:hAnsi="Calibri" w:cs="Calibri"/>
                <w:lang w:eastAsia="es-CL"/>
              </w:rPr>
              <w:t>Vlll</w:t>
            </w:r>
            <w:proofErr w:type="spellEnd"/>
            <w:r w:rsidRPr="008A6997">
              <w:rPr>
                <w:rFonts w:ascii="Calibri" w:eastAsia="Times New Roman" w:hAnsi="Calibri" w:cs="Calibri"/>
                <w:lang w:eastAsia="es-CL"/>
              </w:rPr>
              <w:t xml:space="preserve"> Encontrarse cualquier miembro del personal o representante legal afecto a la inhabilidad para trabajar con menores de edad de conformidad a lo establecido en la Ley 20.594, que crea inhabilidades para condenados por delitos sexuales contra menores y establece registro de dichas inhabilidades.</w:t>
            </w:r>
            <w:r w:rsidRPr="008A6997">
              <w:rPr>
                <w:rFonts w:ascii="Calibri" w:eastAsia="Times New Roman" w:hAnsi="Calibri" w:cs="Calibri"/>
                <w:lang w:eastAsia="es-CL"/>
              </w:rPr>
              <w:br/>
            </w:r>
            <w:r w:rsidRPr="008A6997">
              <w:rPr>
                <w:rFonts w:ascii="Calibri" w:eastAsia="Times New Roman" w:hAnsi="Calibri" w:cs="Calibri"/>
                <w:lang w:eastAsia="es-CL"/>
              </w:rPr>
              <w:br/>
              <w:t>La consulta es, si está bien redactada ? o se subentiende que no es así......?</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Efectivamente se refiere a que NO tiene entre sus representantes legales o directores a personas con las señaladas condenas o inhabilidades respecto del N</w:t>
            </w:r>
            <w:proofErr w:type="gramStart"/>
            <w:r w:rsidRPr="008A6997">
              <w:rPr>
                <w:rFonts w:ascii="Calibri" w:eastAsia="Times New Roman" w:hAnsi="Calibri" w:cs="Calibri"/>
                <w:lang w:eastAsia="es-CL"/>
              </w:rPr>
              <w:t>° :</w:t>
            </w:r>
            <w:proofErr w:type="gramEnd"/>
            <w:r w:rsidRPr="008A6997">
              <w:rPr>
                <w:rFonts w:ascii="Calibri" w:eastAsia="Times New Roman" w:hAnsi="Calibri" w:cs="Calibri"/>
                <w:lang w:eastAsia="es-CL"/>
              </w:rPr>
              <w:t xml:space="preserve"> "vii. Tener, entre sus representantes legales o directores, a personas condenadas en causa criminal, por infracción a la ley N° 20.000 y a ley N° 19.913". Lo mismo en el caso de "viii. Encontrarse cualquier miembro del personal o representante legal afecto a la inhabilidad para trabajar con menores de edad de conformidad a lo establecido en la Ley 20.594, que crea inhabilidades para condenados por delitos sexuales contra menores y establece registro de dichas inhabilidades". La declaración apunta a que cualquier miembro del personal o representante legal NO se encuentran inhabilitados de acuerdo a dichas normas. Esto en concordancia con el N°1.1 de las bases.</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 xml:space="preserve">En la solicitud de técnico en rehabilitación, ¿es posible que por ejemplo un técnico social u otro técnico de las </w:t>
            </w:r>
            <w:proofErr w:type="spellStart"/>
            <w:r w:rsidRPr="008A6997">
              <w:rPr>
                <w:rFonts w:ascii="Calibri" w:eastAsia="Times New Roman" w:hAnsi="Calibri" w:cs="Calibri"/>
                <w:color w:val="222222"/>
                <w:lang w:eastAsia="es-CL"/>
              </w:rPr>
              <w:t>cs</w:t>
            </w:r>
            <w:proofErr w:type="spellEnd"/>
            <w:r>
              <w:rPr>
                <w:rFonts w:ascii="Calibri" w:eastAsia="Times New Roman" w:hAnsi="Calibri" w:cs="Calibri"/>
                <w:color w:val="222222"/>
                <w:lang w:eastAsia="es-CL"/>
              </w:rPr>
              <w:t>.</w:t>
            </w:r>
            <w:r w:rsidRPr="008A6997">
              <w:rPr>
                <w:rFonts w:ascii="Calibri" w:eastAsia="Times New Roman" w:hAnsi="Calibri" w:cs="Calibri"/>
                <w:color w:val="222222"/>
                <w:lang w:eastAsia="es-CL"/>
              </w:rPr>
              <w:t xml:space="preserve"> sociales asuma ese cargo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proofErr w:type="spellStart"/>
            <w:r w:rsidRPr="008A6997">
              <w:rPr>
                <w:rFonts w:ascii="Calibri" w:eastAsia="Times New Roman" w:hAnsi="Calibri" w:cs="Calibri"/>
                <w:lang w:eastAsia="es-CL"/>
              </w:rPr>
              <w:t>Si</w:t>
            </w:r>
            <w:proofErr w:type="spellEnd"/>
            <w:r w:rsidRPr="008A6997">
              <w:rPr>
                <w:rFonts w:ascii="Calibri" w:eastAsia="Times New Roman" w:hAnsi="Calibri" w:cs="Calibri"/>
                <w:lang w:eastAsia="es-CL"/>
              </w:rPr>
              <w:t xml:space="preserve">, es posible. De acuerdo a lo señalado en las bases del concurso (por ej. en el punto 2.3 letra a), se requiere un título de técnico </w:t>
            </w:r>
            <w:r w:rsidRPr="008A6997">
              <w:rPr>
                <w:rFonts w:ascii="Calibri" w:eastAsia="Times New Roman" w:hAnsi="Calibri" w:cs="Calibri"/>
                <w:lang w:eastAsia="es-CL"/>
              </w:rPr>
              <w:lastRenderedPageBreak/>
              <w:t xml:space="preserve">de nivel superior, pudiendo ser Técnico en Rehabilitación y/o Técnico Paramédico y/o Técnico </w:t>
            </w:r>
            <w:proofErr w:type="spellStart"/>
            <w:r w:rsidRPr="008A6997">
              <w:rPr>
                <w:rFonts w:ascii="Calibri" w:eastAsia="Times New Roman" w:hAnsi="Calibri" w:cs="Calibri"/>
                <w:lang w:eastAsia="es-CL"/>
              </w:rPr>
              <w:t>Psicoeducador</w:t>
            </w:r>
            <w:proofErr w:type="spellEnd"/>
            <w:r w:rsidRPr="008A6997">
              <w:rPr>
                <w:rFonts w:ascii="Calibri" w:eastAsia="Times New Roman" w:hAnsi="Calibri" w:cs="Calibri"/>
                <w:lang w:eastAsia="es-CL"/>
              </w:rPr>
              <w:t xml:space="preserve"> y/o Técnico con formación en intervención psicosocial y/o salud mental y/o carrera técnica de nivel superior afín a las ciencias sociales, psicosociales y/o salud.</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lastRenderedPageBreak/>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 xml:space="preserve">En anexo 1 de propuesta, </w:t>
            </w:r>
            <w:r w:rsidRPr="008A6997">
              <w:rPr>
                <w:rFonts w:ascii="Calibri" w:eastAsia="Times New Roman" w:hAnsi="Calibri" w:cs="Calibri"/>
                <w:color w:val="000000"/>
                <w:lang w:eastAsia="es-CL"/>
              </w:rPr>
              <w:t>¿</w:t>
            </w:r>
            <w:r w:rsidRPr="008A6997">
              <w:rPr>
                <w:rFonts w:ascii="Calibri" w:eastAsia="Times New Roman" w:hAnsi="Calibri" w:cs="Calibri"/>
                <w:color w:val="222222"/>
                <w:lang w:eastAsia="es-CL"/>
              </w:rPr>
              <w:t>no es necesario desarrollar un programa?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No, no es necesario desarrollar un programa, solo completar el formulario claramente y con todo lo solicitado.</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¿No se solicita garantía de seriedad de la oferta?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No, en estos concursos no se solicita garantía de seriedad de la oferta, solo garantía de fiel y oportuno cumplimiento del convenio.</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El director técnico, ¿debe tener alguna profesión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Si, debe ser un profesional con desempeño y experiencia en el área de la salud o un técnico en rehabilitación de personas con dependencia a drogas.</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Para la redacción del programa, ¿se deben copiar los objetivos dados en las bases?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color w:val="000000"/>
                <w:lang w:eastAsia="es-CL"/>
              </w:rPr>
              <w:t xml:space="preserve">Como se detalla en el punto 3.1 del anexo 1 </w:t>
            </w:r>
            <w:r w:rsidRPr="008A6997">
              <w:rPr>
                <w:rFonts w:ascii="Calibri" w:eastAsia="Times New Roman" w:hAnsi="Calibri" w:cs="Calibri"/>
                <w:i/>
                <w:iCs/>
                <w:color w:val="000000"/>
                <w:lang w:eastAsia="es-CL"/>
              </w:rPr>
              <w:t xml:space="preserve">Formulario de presentación de propuesta 2026, </w:t>
            </w:r>
            <w:r w:rsidRPr="008A6997">
              <w:rPr>
                <w:rFonts w:ascii="Calibri" w:eastAsia="Times New Roman" w:hAnsi="Calibri" w:cs="Calibri"/>
                <w:color w:val="000000"/>
                <w:lang w:eastAsia="es-CL"/>
              </w:rPr>
              <w:t>"Complete el siguiente cuadro solo si su propuesta técnica incorpora otro (s) objetivos específicos, además de los detallados en el punto I.6.2. de las bases del presente concurso. Si su propuesta no sumará objetivos específicos, no complete este cuadro". Por lo tanto, no es necesario copiar los objetivos dados en las bases del concurso.</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¿Es posible considerar en algún ítem los gastos de la garantía de fiel cumplimiento?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Como se menciona en el punto 1.7.2 de las bases del concurso, no es posible incorporar como gasto del proyecto "(...) gastos derivados de las garantías (...)".</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Considerando que las garantías son onerosas y si no es posible considerar la garantía de fiel cumplimiento en los gastos, ¿de dónde sale ese dinero?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lang w:eastAsia="es-CL"/>
              </w:rPr>
              <w:t>Cada entidad postulante debe determinar el origen de los recursos que destine a la obtención de la garantía requerida.</w:t>
            </w:r>
          </w:p>
        </w:tc>
      </w:tr>
      <w:tr w:rsidR="008A6997" w:rsidRPr="008A6997" w:rsidTr="008A699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jc w:val="center"/>
              <w:rPr>
                <w:rFonts w:ascii="Calibri" w:eastAsia="Times New Roman" w:hAnsi="Calibri" w:cs="Calibri"/>
                <w:lang w:eastAsia="es-CL"/>
              </w:rPr>
            </w:pPr>
            <w:r w:rsidRPr="008A6997">
              <w:rPr>
                <w:rFonts w:ascii="Calibri" w:eastAsia="Times New Roman" w:hAnsi="Calibri" w:cs="Calibri"/>
                <w:lang w:eastAsia="es-CL"/>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color w:val="222222"/>
                <w:lang w:eastAsia="es-CL"/>
              </w:rPr>
            </w:pPr>
            <w:r w:rsidRPr="008A6997">
              <w:rPr>
                <w:rFonts w:ascii="Calibri" w:eastAsia="Times New Roman" w:hAnsi="Calibri" w:cs="Calibri"/>
                <w:color w:val="222222"/>
                <w:lang w:eastAsia="es-CL"/>
              </w:rPr>
              <w:t>Se entiende que el director/a además puede ejercer un cargo de atención a residentes?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A6997" w:rsidRPr="008A6997" w:rsidRDefault="008A6997" w:rsidP="008A6997">
            <w:pPr>
              <w:spacing w:after="0" w:line="240" w:lineRule="auto"/>
              <w:rPr>
                <w:rFonts w:ascii="Calibri" w:eastAsia="Times New Roman" w:hAnsi="Calibri" w:cs="Calibri"/>
                <w:lang w:eastAsia="es-CL"/>
              </w:rPr>
            </w:pPr>
            <w:r w:rsidRPr="008A6997">
              <w:rPr>
                <w:rFonts w:ascii="Calibri" w:eastAsia="Times New Roman" w:hAnsi="Calibri" w:cs="Calibri"/>
                <w:color w:val="000000"/>
                <w:lang w:eastAsia="es-CL"/>
              </w:rPr>
              <w:t xml:space="preserve">Cada entidad postulante debe definir si el director o directora además dispondrá de horas para atención directa. De ser así, en el anexo 1 </w:t>
            </w:r>
            <w:r w:rsidRPr="008A6997">
              <w:rPr>
                <w:rFonts w:ascii="Calibri" w:eastAsia="Times New Roman" w:hAnsi="Calibri" w:cs="Calibri"/>
                <w:i/>
                <w:iCs/>
                <w:color w:val="000000"/>
                <w:lang w:eastAsia="es-CL"/>
              </w:rPr>
              <w:t xml:space="preserve">Formulario de presentación de propuesta 2026 </w:t>
            </w:r>
            <w:r w:rsidRPr="008A6997">
              <w:rPr>
                <w:rFonts w:ascii="Calibri" w:eastAsia="Times New Roman" w:hAnsi="Calibri" w:cs="Calibri"/>
                <w:color w:val="000000"/>
                <w:lang w:eastAsia="es-CL"/>
              </w:rPr>
              <w:t>se deben diferenciar las horas destinadas exclusivamente a la coordinación, de las destinadas a atención directa.</w:t>
            </w:r>
          </w:p>
        </w:tc>
      </w:tr>
    </w:tbl>
    <w:p w:rsidR="008A6997" w:rsidRDefault="008A6997"/>
    <w:sectPr w:rsidR="008A69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97"/>
    <w:rsid w:val="001C7363"/>
    <w:rsid w:val="0033510F"/>
    <w:rsid w:val="003A0258"/>
    <w:rsid w:val="00432BCA"/>
    <w:rsid w:val="008A6997"/>
    <w:rsid w:val="0093286E"/>
    <w:rsid w:val="00BB26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325D"/>
  <w15:chartTrackingRefBased/>
  <w15:docId w15:val="{6AB61510-2214-4EB6-BAB3-653654E6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0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1592</Words>
  <Characters>8757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Quinteros Lopez</dc:creator>
  <cp:keywords/>
  <dc:description/>
  <cp:lastModifiedBy>Claudia Quinteros Lopez</cp:lastModifiedBy>
  <cp:revision>1</cp:revision>
  <dcterms:created xsi:type="dcterms:W3CDTF">2025-12-30T16:43:00Z</dcterms:created>
  <dcterms:modified xsi:type="dcterms:W3CDTF">2025-12-30T16:46:00Z</dcterms:modified>
</cp:coreProperties>
</file>